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AD8" w:rsidRPr="00EB5B55" w:rsidRDefault="005070E6" w:rsidP="005070E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B5B55">
        <w:rPr>
          <w:rFonts w:ascii="Arial" w:hAnsi="Arial" w:cs="Arial"/>
          <w:color w:val="000000" w:themeColor="text1"/>
          <w:sz w:val="20"/>
          <w:szCs w:val="20"/>
        </w:rPr>
        <w:t>Quadro</w:t>
      </w:r>
      <w:r w:rsidR="001B5FA5" w:rsidRPr="00EB5B55">
        <w:rPr>
          <w:rFonts w:ascii="Arial" w:hAnsi="Arial" w:cs="Arial"/>
          <w:color w:val="000000" w:themeColor="text1"/>
          <w:sz w:val="20"/>
          <w:szCs w:val="20"/>
        </w:rPr>
        <w:fldChar w:fldCharType="begin"/>
      </w:r>
      <w:r w:rsidRPr="00EB5B55">
        <w:rPr>
          <w:rFonts w:ascii="Arial" w:hAnsi="Arial" w:cs="Arial"/>
          <w:color w:val="000000" w:themeColor="text1"/>
          <w:sz w:val="20"/>
          <w:szCs w:val="20"/>
        </w:rPr>
        <w:instrText xml:space="preserve"> SEQ Quadro_ \* ARABIC </w:instrText>
      </w:r>
      <w:r w:rsidR="001B5FA5" w:rsidRPr="00EB5B55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EB5B55">
        <w:rPr>
          <w:rFonts w:ascii="Arial" w:hAnsi="Arial" w:cs="Arial"/>
          <w:noProof/>
          <w:color w:val="000000" w:themeColor="text1"/>
          <w:sz w:val="20"/>
          <w:szCs w:val="20"/>
        </w:rPr>
        <w:t>1</w:t>
      </w:r>
      <w:r w:rsidR="001B5FA5" w:rsidRPr="00EB5B55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EB5B55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813ADE" w:rsidRPr="00EB5B55">
        <w:rPr>
          <w:rFonts w:ascii="Arial" w:hAnsi="Arial" w:cs="Arial"/>
          <w:color w:val="000000" w:themeColor="text1"/>
          <w:sz w:val="20"/>
          <w:szCs w:val="20"/>
        </w:rPr>
        <w:t>P 8.6 Perfuração de poços artesianos para assentamentos e propriedades rurais com famílias de baixa renda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A17425" w:rsidRPr="00EB5B55" w:rsidTr="00BF57EF">
        <w:tc>
          <w:tcPr>
            <w:tcW w:w="5000" w:type="pct"/>
            <w:shd w:val="clear" w:color="auto" w:fill="D9D9D9"/>
            <w:tcMar>
              <w:left w:w="108" w:type="dxa"/>
            </w:tcMar>
          </w:tcPr>
          <w:p w:rsidR="00956AD8" w:rsidRPr="00EB5B55" w:rsidRDefault="00314BCD" w:rsidP="0097774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B5B5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1 - IDENTIFICAÇÃO DO PROJETO</w:t>
            </w:r>
          </w:p>
        </w:tc>
      </w:tr>
      <w:tr w:rsidR="00A17425" w:rsidRPr="00EB5B55" w:rsidTr="00BF57EF">
        <w:tc>
          <w:tcPr>
            <w:tcW w:w="5000" w:type="pct"/>
            <w:shd w:val="clear" w:color="auto" w:fill="auto"/>
            <w:tcMar>
              <w:left w:w="108" w:type="dxa"/>
            </w:tcMar>
          </w:tcPr>
          <w:p w:rsidR="00956AD8" w:rsidRPr="00EB5B55" w:rsidRDefault="005070E6" w:rsidP="0097774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B5B5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Título:</w:t>
            </w:r>
            <w:r w:rsidR="007A796F" w:rsidRPr="00EB5B5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13ADE" w:rsidRPr="00EB5B55">
              <w:rPr>
                <w:rFonts w:ascii="Arial" w:hAnsi="Arial" w:cs="Arial"/>
                <w:color w:val="000000" w:themeColor="text1"/>
                <w:sz w:val="20"/>
                <w:szCs w:val="20"/>
              </w:rPr>
              <w:t>P 8.6 Perfuração de poços artesianos para assentamentos e propriedades rurais com famílias de baixa renda</w:t>
            </w:r>
          </w:p>
        </w:tc>
      </w:tr>
      <w:tr w:rsidR="00A17425" w:rsidRPr="00B75CDF" w:rsidTr="00BF57EF">
        <w:tc>
          <w:tcPr>
            <w:tcW w:w="5000" w:type="pct"/>
            <w:shd w:val="clear" w:color="auto" w:fill="auto"/>
            <w:tcMar>
              <w:left w:w="108" w:type="dxa"/>
            </w:tcMar>
          </w:tcPr>
          <w:p w:rsidR="00956AD8" w:rsidRPr="00B75CDF" w:rsidRDefault="00314BCD" w:rsidP="009777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5B5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Localização: </w:t>
            </w:r>
            <w:r w:rsidR="00AD59F2" w:rsidRPr="00EB5B55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="00B60E14" w:rsidRPr="00EB5B55">
              <w:rPr>
                <w:rFonts w:ascii="Arial" w:hAnsi="Arial" w:cs="Arial"/>
                <w:color w:val="000000" w:themeColor="text1"/>
                <w:sz w:val="20"/>
                <w:szCs w:val="20"/>
              </w:rPr>
              <w:t>OREDE</w:t>
            </w:r>
            <w:r w:rsidR="00AD59F2" w:rsidRPr="00EB5B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Campanha</w:t>
            </w:r>
          </w:p>
        </w:tc>
      </w:tr>
      <w:tr w:rsidR="00A17425" w:rsidRPr="00B75CDF" w:rsidTr="00BF57EF">
        <w:tc>
          <w:tcPr>
            <w:tcW w:w="5000" w:type="pct"/>
            <w:shd w:val="clear" w:color="auto" w:fill="auto"/>
            <w:tcMar>
              <w:left w:w="108" w:type="dxa"/>
            </w:tcMar>
          </w:tcPr>
          <w:p w:rsidR="00956AD8" w:rsidRPr="00EB5B55" w:rsidRDefault="00314BCD" w:rsidP="009777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EB5B55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t>Valor total estimado do projeto</w:t>
            </w:r>
            <w:r w:rsidRPr="00EB5B55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:</w:t>
            </w:r>
            <w:r w:rsidR="001C2968" w:rsidRPr="00EB5B55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="00CF6918" w:rsidRPr="00EB5B55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t xml:space="preserve">R$ </w:t>
            </w:r>
            <w:r w:rsidR="0091228B" w:rsidRPr="00EB5B55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t>1</w:t>
            </w:r>
            <w:bookmarkStart w:id="0" w:name="_GoBack"/>
            <w:bookmarkEnd w:id="0"/>
            <w:r w:rsidR="0091228B" w:rsidRPr="00EB5B55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t>5.600</w:t>
            </w:r>
            <w:r w:rsidR="00CF6918" w:rsidRPr="00EB5B55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t>.000,00</w:t>
            </w:r>
          </w:p>
        </w:tc>
      </w:tr>
      <w:tr w:rsidR="00A17425" w:rsidRPr="00B75CDF" w:rsidTr="00BF57EF">
        <w:tc>
          <w:tcPr>
            <w:tcW w:w="5000" w:type="pct"/>
            <w:shd w:val="clear" w:color="auto" w:fill="auto"/>
            <w:tcMar>
              <w:left w:w="108" w:type="dxa"/>
            </w:tcMar>
          </w:tcPr>
          <w:p w:rsidR="00956AD8" w:rsidRPr="00EB5B55" w:rsidRDefault="00996371" w:rsidP="0097774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EB5B55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t>Duração do projeto:</w:t>
            </w:r>
            <w:r w:rsidR="00B63BCE" w:rsidRPr="00EB5B55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="00532337" w:rsidRPr="00EB5B55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156</w:t>
            </w:r>
            <w:r w:rsidR="00B63BCE" w:rsidRPr="00EB5B55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="00314BCD" w:rsidRPr="00EB5B55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meses</w:t>
            </w:r>
          </w:p>
        </w:tc>
      </w:tr>
      <w:tr w:rsidR="00A17425" w:rsidRPr="00B75CDF" w:rsidTr="00BF57EF">
        <w:tc>
          <w:tcPr>
            <w:tcW w:w="5000" w:type="pct"/>
            <w:shd w:val="clear" w:color="auto" w:fill="auto"/>
            <w:tcMar>
              <w:left w:w="108" w:type="dxa"/>
            </w:tcMar>
          </w:tcPr>
          <w:p w:rsidR="00956AD8" w:rsidRPr="00B75CDF" w:rsidRDefault="00314BCD" w:rsidP="009777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C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Responsável pela implementação:</w:t>
            </w:r>
            <w:r w:rsidR="001C2968" w:rsidRPr="00B75C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C2968" w:rsidRPr="00B75CDF">
              <w:rPr>
                <w:rFonts w:ascii="Arial" w:hAnsi="Arial" w:cs="Arial"/>
                <w:sz w:val="20"/>
                <w:szCs w:val="20"/>
              </w:rPr>
              <w:t>Corede</w:t>
            </w:r>
            <w:proofErr w:type="spellEnd"/>
            <w:r w:rsidR="001C2968" w:rsidRPr="00B75CDF">
              <w:rPr>
                <w:rFonts w:ascii="Arial" w:hAnsi="Arial" w:cs="Arial"/>
                <w:sz w:val="20"/>
                <w:szCs w:val="20"/>
              </w:rPr>
              <w:t xml:space="preserve"> Campanha</w:t>
            </w:r>
          </w:p>
        </w:tc>
      </w:tr>
      <w:tr w:rsidR="00A17425" w:rsidRPr="00B75CDF" w:rsidTr="00BF57EF">
        <w:tc>
          <w:tcPr>
            <w:tcW w:w="5000" w:type="pct"/>
            <w:shd w:val="clear" w:color="auto" w:fill="auto"/>
            <w:tcMar>
              <w:left w:w="108" w:type="dxa"/>
            </w:tcMar>
          </w:tcPr>
          <w:p w:rsidR="005729C8" w:rsidRPr="00B75CDF" w:rsidRDefault="00314BCD" w:rsidP="0097774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75C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Escopo:</w:t>
            </w:r>
            <w:r w:rsidR="001C2968" w:rsidRPr="00B75C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747D0F" w:rsidRPr="00B75CDF" w:rsidRDefault="005729C8" w:rsidP="0097774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75CDF">
              <w:rPr>
                <w:rFonts w:ascii="Arial" w:hAnsi="Arial" w:cs="Arial"/>
                <w:sz w:val="20"/>
                <w:szCs w:val="20"/>
              </w:rPr>
              <w:t>Oportunizar a utilização da água subterrânea realizando um programa de perfuração de poços e construção da rede de distribuição da água para os beneficiados além de não haver sazonalidade na oferta hídrica, ainda contribui por disponibilizar uma água de boa qualidade, contribuindo diretamente para a saúde pública.</w:t>
            </w:r>
          </w:p>
        </w:tc>
      </w:tr>
      <w:tr w:rsidR="00A17425" w:rsidRPr="00B75CDF" w:rsidTr="00BF57EF">
        <w:tc>
          <w:tcPr>
            <w:tcW w:w="5000" w:type="pct"/>
            <w:shd w:val="clear" w:color="auto" w:fill="auto"/>
            <w:tcMar>
              <w:left w:w="108" w:type="dxa"/>
            </w:tcMar>
          </w:tcPr>
          <w:p w:rsidR="009A731D" w:rsidRPr="00B75CDF" w:rsidRDefault="009A731D" w:rsidP="009777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C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Responsável: </w:t>
            </w:r>
            <w:proofErr w:type="spellStart"/>
            <w:r w:rsidR="00747D0F" w:rsidRPr="00B75CDF">
              <w:rPr>
                <w:rFonts w:ascii="Arial" w:hAnsi="Arial" w:cs="Arial"/>
                <w:color w:val="000000" w:themeColor="text1"/>
                <w:sz w:val="20"/>
                <w:szCs w:val="20"/>
              </w:rPr>
              <w:t>Corede</w:t>
            </w:r>
            <w:proofErr w:type="spellEnd"/>
            <w:r w:rsidR="00747D0F" w:rsidRPr="00B75C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Campanha</w:t>
            </w:r>
            <w:r w:rsidR="00747D0F" w:rsidRPr="00B75C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747D0F" w:rsidRPr="00B75C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URCAMP / </w:t>
            </w:r>
            <w:r w:rsidR="00CD3BF7" w:rsidRPr="00B75C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Elisabeth Cristina Drumm, </w:t>
            </w:r>
            <w:proofErr w:type="spellStart"/>
            <w:r w:rsidR="005729C8" w:rsidRPr="00B75CDF">
              <w:rPr>
                <w:rFonts w:ascii="Arial" w:hAnsi="Arial" w:cs="Arial"/>
                <w:color w:val="000000" w:themeColor="text1"/>
                <w:sz w:val="20"/>
                <w:szCs w:val="20"/>
              </w:rPr>
              <w:t>Eventon</w:t>
            </w:r>
            <w:proofErr w:type="spellEnd"/>
            <w:r w:rsidR="005729C8" w:rsidRPr="00B75C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Meira</w:t>
            </w:r>
          </w:p>
        </w:tc>
      </w:tr>
      <w:tr w:rsidR="00A17425" w:rsidRPr="00B75CDF" w:rsidTr="00BF57EF">
        <w:tc>
          <w:tcPr>
            <w:tcW w:w="5000" w:type="pct"/>
            <w:shd w:val="clear" w:color="auto" w:fill="D9D9D9"/>
            <w:tcMar>
              <w:left w:w="108" w:type="dxa"/>
            </w:tcMar>
          </w:tcPr>
          <w:p w:rsidR="00956AD8" w:rsidRPr="00B75CDF" w:rsidRDefault="00314BCD" w:rsidP="0097774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75C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2 - QUALIFICAÇÃO DO PROJETO</w:t>
            </w:r>
          </w:p>
        </w:tc>
      </w:tr>
      <w:tr w:rsidR="00A17425" w:rsidRPr="00B75CDF" w:rsidTr="00BF57EF">
        <w:tc>
          <w:tcPr>
            <w:tcW w:w="5000" w:type="pct"/>
            <w:shd w:val="clear" w:color="auto" w:fill="auto"/>
            <w:tcMar>
              <w:left w:w="108" w:type="dxa"/>
            </w:tcMar>
          </w:tcPr>
          <w:p w:rsidR="001C2968" w:rsidRPr="00B75CDF" w:rsidRDefault="00314BCD" w:rsidP="00FA5AA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75C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Objetivo</w:t>
            </w:r>
            <w:r w:rsidR="001C2968" w:rsidRPr="00B75C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</w:t>
            </w:r>
            <w:r w:rsidRPr="00B75C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</w:p>
          <w:p w:rsidR="00B75CDF" w:rsidRPr="00B75CDF" w:rsidRDefault="00B75CDF" w:rsidP="00B75C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CDF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B75CDF">
              <w:rPr>
                <w:rFonts w:ascii="Arial" w:hAnsi="Arial" w:cs="Arial"/>
                <w:sz w:val="20"/>
                <w:szCs w:val="20"/>
              </w:rPr>
              <w:t xml:space="preserve"> Disponibili</w:t>
            </w:r>
            <w:r w:rsidRPr="00B75CDF">
              <w:rPr>
                <w:rFonts w:ascii="Arial" w:hAnsi="Arial" w:cs="Arial"/>
                <w:sz w:val="20"/>
                <w:szCs w:val="20"/>
              </w:rPr>
              <w:t>zar</w:t>
            </w:r>
            <w:r w:rsidRPr="00B75CDF">
              <w:rPr>
                <w:rFonts w:ascii="Arial" w:hAnsi="Arial" w:cs="Arial"/>
                <w:sz w:val="20"/>
                <w:szCs w:val="20"/>
              </w:rPr>
              <w:t xml:space="preserve"> água para as famílias de baixa renda e assentamentos.</w:t>
            </w:r>
          </w:p>
          <w:p w:rsidR="00BA3D81" w:rsidRPr="00B75CDF" w:rsidRDefault="00B75CDF" w:rsidP="00B75C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CDF">
              <w:rPr>
                <w:rFonts w:ascii="Arial" w:hAnsi="Arial" w:cs="Arial"/>
                <w:sz w:val="20"/>
                <w:szCs w:val="20"/>
              </w:rPr>
              <w:t>- Melhor</w:t>
            </w:r>
            <w:r w:rsidRPr="00B75CDF">
              <w:rPr>
                <w:rFonts w:ascii="Arial" w:hAnsi="Arial" w:cs="Arial"/>
                <w:sz w:val="20"/>
                <w:szCs w:val="20"/>
              </w:rPr>
              <w:t xml:space="preserve">ar </w:t>
            </w:r>
            <w:r w:rsidRPr="00B75CDF">
              <w:rPr>
                <w:rFonts w:ascii="Arial" w:hAnsi="Arial" w:cs="Arial"/>
                <w:sz w:val="20"/>
                <w:szCs w:val="20"/>
              </w:rPr>
              <w:t>as condições de saúde pela utilização de água de boa qualidade</w:t>
            </w:r>
            <w:r w:rsidR="00BA3D81" w:rsidRPr="00B75CDF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A17425" w:rsidRPr="00B75CDF" w:rsidTr="00BF57EF">
        <w:tc>
          <w:tcPr>
            <w:tcW w:w="5000" w:type="pct"/>
            <w:shd w:val="clear" w:color="auto" w:fill="auto"/>
            <w:tcMar>
              <w:left w:w="108" w:type="dxa"/>
            </w:tcMar>
          </w:tcPr>
          <w:p w:rsidR="00747D0F" w:rsidRPr="00B75CDF" w:rsidRDefault="00314BCD" w:rsidP="00B75CD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75C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Justificativa:</w:t>
            </w:r>
          </w:p>
          <w:p w:rsidR="00BA1531" w:rsidRPr="00B75CDF" w:rsidRDefault="00FD7579" w:rsidP="00B75CDF">
            <w:pPr>
              <w:pStyle w:val="Legenda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F">
              <w:rPr>
                <w:rFonts w:ascii="Arial" w:hAnsi="Arial" w:cs="Arial"/>
                <w:i w:val="0"/>
                <w:sz w:val="20"/>
                <w:szCs w:val="20"/>
              </w:rPr>
              <w:tab/>
            </w:r>
            <w:r w:rsidR="00BA1531" w:rsidRPr="00B75CDF">
              <w:rPr>
                <w:rFonts w:ascii="Arial" w:hAnsi="Arial" w:cs="Arial"/>
                <w:i w:val="0"/>
                <w:sz w:val="20"/>
                <w:szCs w:val="20"/>
              </w:rPr>
              <w:t xml:space="preserve">Na revisão do Planejamento Estratégico de Desenvolvimento (PED) da região de abrangência do </w:t>
            </w:r>
            <w:proofErr w:type="spellStart"/>
            <w:r w:rsidR="00BA1531" w:rsidRPr="00B75CDF">
              <w:rPr>
                <w:rFonts w:ascii="Arial" w:hAnsi="Arial" w:cs="Arial"/>
                <w:i w:val="0"/>
                <w:sz w:val="20"/>
                <w:szCs w:val="20"/>
              </w:rPr>
              <w:t>Corede</w:t>
            </w:r>
            <w:proofErr w:type="spellEnd"/>
            <w:r w:rsidR="00BA1531" w:rsidRPr="00B75CDF">
              <w:rPr>
                <w:rFonts w:ascii="Arial" w:hAnsi="Arial" w:cs="Arial"/>
                <w:i w:val="0"/>
                <w:sz w:val="20"/>
                <w:szCs w:val="20"/>
              </w:rPr>
              <w:t xml:space="preserve"> Campanha, considerando as cinco dimensões de gestão: econômica, social, ambiental, infraestrutura e institucional, foi definido que a </w:t>
            </w:r>
            <w:r w:rsidR="00BA1531" w:rsidRPr="00B75CDF">
              <w:rPr>
                <w:rFonts w:ascii="Arial" w:hAnsi="Arial" w:cs="Arial"/>
                <w:b/>
                <w:i w:val="0"/>
                <w:sz w:val="20"/>
                <w:szCs w:val="20"/>
              </w:rPr>
              <w:t>Visão</w:t>
            </w:r>
            <w:r w:rsidR="00BA1531" w:rsidRPr="00B75CDF">
              <w:rPr>
                <w:rFonts w:ascii="Arial" w:hAnsi="Arial" w:cs="Arial"/>
                <w:i w:val="0"/>
                <w:sz w:val="20"/>
                <w:szCs w:val="20"/>
              </w:rPr>
              <w:t xml:space="preserve"> da região é a seguinte: “C</w:t>
            </w:r>
            <w:r w:rsidR="00BA1531" w:rsidRPr="00B75CDF">
              <w:rPr>
                <w:rFonts w:ascii="Arial" w:hAnsi="Arial" w:cs="Arial"/>
                <w:color w:val="000000"/>
                <w:sz w:val="20"/>
                <w:szCs w:val="20"/>
              </w:rPr>
              <w:t xml:space="preserve">onstruir até 2030, o desenvolvimento sustentável (econômico, social e ambiental) da região da Campanha valorizando as potencialidades regionais, otimizando os processos produtivos e promovendo a qualidade de vida e o fortalecimento da </w:t>
            </w:r>
            <w:r w:rsidR="00BA1531" w:rsidRPr="00B75CDF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>governança regional</w:t>
            </w:r>
            <w:r w:rsidR="00BA1531" w:rsidRPr="00B75CDF">
              <w:rPr>
                <w:rFonts w:ascii="Arial" w:hAnsi="Arial" w:cs="Arial"/>
                <w:color w:val="000000"/>
                <w:sz w:val="20"/>
                <w:szCs w:val="20"/>
              </w:rPr>
              <w:t xml:space="preserve">”. </w:t>
            </w:r>
            <w:r w:rsidR="00BA1531" w:rsidRPr="00B75CDF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A Região tem como </w:t>
            </w:r>
            <w:r w:rsidR="00BA1531" w:rsidRPr="00B75CDF">
              <w:rPr>
                <w:rFonts w:ascii="Arial" w:hAnsi="Arial" w:cs="Arial"/>
                <w:b/>
                <w:i w:val="0"/>
                <w:color w:val="000000"/>
                <w:sz w:val="20"/>
                <w:szCs w:val="20"/>
              </w:rPr>
              <w:t>vocação:</w:t>
            </w:r>
            <w:r w:rsidR="00BA1531" w:rsidRPr="00B75CDF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 </w:t>
            </w:r>
            <w:r w:rsidR="00BA1531" w:rsidRPr="00B75CDF">
              <w:rPr>
                <w:rFonts w:ascii="Arial" w:hAnsi="Arial" w:cs="Arial"/>
                <w:color w:val="000000"/>
                <w:sz w:val="20"/>
                <w:szCs w:val="20"/>
              </w:rPr>
              <w:t>o sistema produtivo agroalimentar, a prestação de serviços, a mineração, a produção energética, a educação, o patrimônio natural (Bioma Pampa) e histórico-cultural</w:t>
            </w:r>
            <w:r w:rsidR="00BA1531" w:rsidRPr="00B75CDF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. </w:t>
            </w:r>
            <w:r w:rsidR="00BA1531" w:rsidRPr="00B75CDF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Suas ações estão pautadas nos seguintes </w:t>
            </w:r>
            <w:r w:rsidR="00BA1531" w:rsidRPr="00B75C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valores: </w:t>
            </w:r>
            <w:r w:rsidR="00BA1531" w:rsidRPr="00B75CD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</w:t>
            </w:r>
            <w:r w:rsidR="00BA1531" w:rsidRPr="00B75CDF">
              <w:rPr>
                <w:rFonts w:ascii="Arial" w:hAnsi="Arial" w:cs="Arial"/>
                <w:color w:val="000000"/>
                <w:sz w:val="20"/>
                <w:szCs w:val="20"/>
              </w:rPr>
              <w:t>ultura fronteiriça, Patrimônio (material e imaterial), valorização do pampa, ética, receptividade/hospitalidade de abertura a inovações/adaptações a outras culturas.</w:t>
            </w:r>
          </w:p>
          <w:p w:rsidR="00BA1531" w:rsidRPr="00B75CDF" w:rsidRDefault="00BA1531" w:rsidP="00B75C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CDF">
              <w:rPr>
                <w:rFonts w:ascii="Arial" w:hAnsi="Arial" w:cs="Arial"/>
                <w:sz w:val="20"/>
                <w:szCs w:val="20"/>
              </w:rPr>
              <w:t xml:space="preserve">O diagnóstico realizado, a partir de dados secundários e primários, esses envolvendo representantes dos municípios de </w:t>
            </w:r>
            <w:proofErr w:type="spellStart"/>
            <w:r w:rsidRPr="00B75CDF">
              <w:rPr>
                <w:rFonts w:ascii="Arial" w:hAnsi="Arial" w:cs="Arial"/>
                <w:sz w:val="20"/>
                <w:szCs w:val="20"/>
              </w:rPr>
              <w:t>Aceguá</w:t>
            </w:r>
            <w:proofErr w:type="spellEnd"/>
            <w:r w:rsidRPr="00B75CDF">
              <w:rPr>
                <w:rFonts w:ascii="Arial" w:hAnsi="Arial" w:cs="Arial"/>
                <w:sz w:val="20"/>
                <w:szCs w:val="20"/>
              </w:rPr>
              <w:t xml:space="preserve">, Bagé, Caçapava do Sul, </w:t>
            </w:r>
            <w:proofErr w:type="spellStart"/>
            <w:r w:rsidRPr="00B75CDF">
              <w:rPr>
                <w:rFonts w:ascii="Arial" w:hAnsi="Arial" w:cs="Arial"/>
                <w:sz w:val="20"/>
                <w:szCs w:val="20"/>
              </w:rPr>
              <w:t>Candiota</w:t>
            </w:r>
            <w:proofErr w:type="spellEnd"/>
            <w:r w:rsidRPr="00B75CDF">
              <w:rPr>
                <w:rFonts w:ascii="Arial" w:hAnsi="Arial" w:cs="Arial"/>
                <w:sz w:val="20"/>
                <w:szCs w:val="20"/>
              </w:rPr>
              <w:t xml:space="preserve">, Dom Pedrito, Hulha Negra e Lavras do Sul, por meio da Matriz FOFA, apontou potencialidades, pontos de defesa/riscos, debilidades/desafios e vulnerabilidades/limitações relacionados a dimensão </w:t>
            </w:r>
            <w:r w:rsidRPr="00B75CDF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Gestão Infraestrutura do PED</w:t>
            </w:r>
            <w:r w:rsidRPr="00B75CDF">
              <w:rPr>
                <w:rFonts w:ascii="Arial" w:hAnsi="Arial" w:cs="Arial"/>
                <w:sz w:val="20"/>
                <w:szCs w:val="20"/>
              </w:rPr>
              <w:t>, conforme segue:</w:t>
            </w:r>
          </w:p>
          <w:p w:rsidR="00BA1531" w:rsidRPr="00B75CDF" w:rsidRDefault="00BA1531" w:rsidP="00B75CD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5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DEBILIDADES/ DESAFIOS </w:t>
            </w:r>
            <w:r w:rsidRPr="00B75CDF">
              <w:rPr>
                <w:rFonts w:ascii="Arial" w:hAnsi="Arial" w:cs="Arial"/>
                <w:bCs/>
                <w:sz w:val="20"/>
                <w:szCs w:val="20"/>
              </w:rPr>
              <w:t>(Apontam para perda de oportunidades se a região não estiver alerta)</w:t>
            </w:r>
          </w:p>
          <w:p w:rsidR="00BA1531" w:rsidRPr="00B75CDF" w:rsidRDefault="00BA1531" w:rsidP="00B75CDF">
            <w:pPr>
              <w:pStyle w:val="PargrafodaLista"/>
              <w:numPr>
                <w:ilvl w:val="0"/>
                <w:numId w:val="11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B75CDF">
              <w:rPr>
                <w:rFonts w:cs="Arial"/>
                <w:sz w:val="20"/>
                <w:szCs w:val="20"/>
              </w:rPr>
              <w:t>Investimento em ações de saneamento básico.</w:t>
            </w:r>
          </w:p>
          <w:p w:rsidR="00BA1531" w:rsidRPr="00B75CDF" w:rsidRDefault="00BA1531" w:rsidP="00B75CDF">
            <w:pPr>
              <w:pStyle w:val="PargrafodaLista"/>
              <w:numPr>
                <w:ilvl w:val="0"/>
                <w:numId w:val="11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B75CDF">
              <w:rPr>
                <w:rFonts w:cs="Arial"/>
                <w:sz w:val="20"/>
                <w:szCs w:val="20"/>
              </w:rPr>
              <w:t>Implementar projeto para redimensionar as vias de transporte/pontes e estradas.</w:t>
            </w:r>
          </w:p>
          <w:p w:rsidR="00BA1531" w:rsidRPr="00B75CDF" w:rsidRDefault="00BA1531" w:rsidP="00B75CDF">
            <w:pPr>
              <w:pStyle w:val="PargrafodaLista"/>
              <w:numPr>
                <w:ilvl w:val="0"/>
                <w:numId w:val="11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B75CDF">
              <w:rPr>
                <w:rFonts w:cs="Arial"/>
                <w:sz w:val="20"/>
                <w:szCs w:val="20"/>
              </w:rPr>
              <w:t>Ampliação pavimentação das estradas vicinais.</w:t>
            </w:r>
          </w:p>
          <w:p w:rsidR="00BA1531" w:rsidRPr="00B75CDF" w:rsidRDefault="00BA1531" w:rsidP="00B75CD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75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VULNERABILIDADES/ LIMITAÇÕES </w:t>
            </w:r>
            <w:r w:rsidRPr="00B75CDF">
              <w:rPr>
                <w:rFonts w:ascii="Arial" w:hAnsi="Arial" w:cs="Arial"/>
                <w:bCs/>
                <w:sz w:val="20"/>
                <w:szCs w:val="20"/>
              </w:rPr>
              <w:t>(Apontam para um caminho de estagnação ou retrocesso)</w:t>
            </w:r>
          </w:p>
          <w:p w:rsidR="00BA1531" w:rsidRPr="00B75CDF" w:rsidRDefault="00BA1531" w:rsidP="00B75CDF">
            <w:pPr>
              <w:pStyle w:val="PargrafodaLista"/>
              <w:numPr>
                <w:ilvl w:val="0"/>
                <w:numId w:val="12"/>
              </w:num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B75CDF">
              <w:rPr>
                <w:rFonts w:cs="Arial"/>
                <w:sz w:val="20"/>
                <w:szCs w:val="20"/>
              </w:rPr>
              <w:t>Rede trifásica na zona rural.</w:t>
            </w:r>
          </w:p>
          <w:p w:rsidR="00BA1531" w:rsidRPr="00B75CDF" w:rsidRDefault="00BA1531" w:rsidP="00B75CDF">
            <w:pPr>
              <w:pStyle w:val="PargrafodaLista"/>
              <w:numPr>
                <w:ilvl w:val="0"/>
                <w:numId w:val="12"/>
              </w:num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B75CDF">
              <w:rPr>
                <w:rFonts w:cs="Arial"/>
                <w:sz w:val="20"/>
                <w:szCs w:val="20"/>
              </w:rPr>
              <w:t>Sinal de internet com condições de atrair empreendimentos tanto a região urbana quanto rural, além de oportunizar o ensino a distância.</w:t>
            </w:r>
          </w:p>
          <w:p w:rsidR="00BA1531" w:rsidRPr="00B75CDF" w:rsidRDefault="00BA1531" w:rsidP="00B75CDF">
            <w:pPr>
              <w:pStyle w:val="PargrafodaLista"/>
              <w:numPr>
                <w:ilvl w:val="0"/>
                <w:numId w:val="12"/>
              </w:num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B75CDF">
              <w:rPr>
                <w:rFonts w:cs="Arial"/>
                <w:sz w:val="20"/>
                <w:szCs w:val="20"/>
              </w:rPr>
              <w:t>Ações para minimizar a imagem de região não desenvolvida – valorizar potenciais da região.</w:t>
            </w:r>
          </w:p>
          <w:p w:rsidR="00BA1531" w:rsidRPr="00B75CDF" w:rsidRDefault="00BA1531" w:rsidP="00B75CDF">
            <w:pPr>
              <w:pStyle w:val="PargrafodaLista"/>
              <w:numPr>
                <w:ilvl w:val="0"/>
                <w:numId w:val="12"/>
              </w:num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B75CDF">
              <w:rPr>
                <w:rFonts w:cs="Arial"/>
                <w:sz w:val="20"/>
                <w:szCs w:val="20"/>
              </w:rPr>
              <w:t>Infraestrutura para atendimento de média e alta complexidade (saúde).</w:t>
            </w:r>
          </w:p>
          <w:p w:rsidR="00BA1531" w:rsidRPr="00B75CDF" w:rsidRDefault="00BA1531" w:rsidP="00B75CDF">
            <w:pPr>
              <w:pStyle w:val="PargrafodaLista"/>
              <w:numPr>
                <w:ilvl w:val="0"/>
                <w:numId w:val="12"/>
              </w:num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B75CDF">
              <w:rPr>
                <w:rFonts w:cs="Arial"/>
                <w:sz w:val="20"/>
                <w:szCs w:val="20"/>
              </w:rPr>
              <w:t>Alternativas para o deslocamento entre os centros urbanos e as principais regiões do MERCOSUL.</w:t>
            </w:r>
          </w:p>
          <w:p w:rsidR="00BA1531" w:rsidRPr="00B75CDF" w:rsidRDefault="00BA1531" w:rsidP="00B75CDF">
            <w:pPr>
              <w:pStyle w:val="PargrafodaLista"/>
              <w:numPr>
                <w:ilvl w:val="0"/>
                <w:numId w:val="12"/>
              </w:num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B75CDF">
              <w:rPr>
                <w:rFonts w:cs="Arial"/>
                <w:sz w:val="20"/>
                <w:szCs w:val="20"/>
              </w:rPr>
              <w:t>Investimentos na captação e em reservatórios de água.</w:t>
            </w:r>
          </w:p>
          <w:p w:rsidR="00BA1531" w:rsidRPr="00B75CDF" w:rsidRDefault="00BA1531" w:rsidP="00B75C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CDF">
              <w:rPr>
                <w:rFonts w:ascii="Arial" w:hAnsi="Arial" w:cs="Arial"/>
                <w:b/>
                <w:bCs/>
                <w:sz w:val="20"/>
                <w:szCs w:val="20"/>
              </w:rPr>
              <w:t>POTENCIALIDADES (Apontam para o caminho de desenvolvimento</w:t>
            </w:r>
            <w:r w:rsidRPr="00B75CD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A1531" w:rsidRPr="00B75CDF" w:rsidRDefault="00BA1531" w:rsidP="00B75CDF">
            <w:pPr>
              <w:pStyle w:val="PargrafodaLista"/>
              <w:numPr>
                <w:ilvl w:val="0"/>
                <w:numId w:val="12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B75CDF">
              <w:rPr>
                <w:rFonts w:cs="Arial"/>
                <w:sz w:val="20"/>
                <w:szCs w:val="20"/>
              </w:rPr>
              <w:t>Sistema de produção de energia eólica.</w:t>
            </w:r>
          </w:p>
          <w:p w:rsidR="00BA1531" w:rsidRPr="00B75CDF" w:rsidRDefault="00BA1531" w:rsidP="00B75CDF">
            <w:pPr>
              <w:pStyle w:val="PargrafodaLista"/>
              <w:numPr>
                <w:ilvl w:val="0"/>
                <w:numId w:val="12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B75CDF">
              <w:rPr>
                <w:rFonts w:cs="Arial"/>
                <w:sz w:val="20"/>
                <w:szCs w:val="20"/>
              </w:rPr>
              <w:t>Uso do território a partir da atração de empreendimentos localizados em centros urbanos esgotados.</w:t>
            </w:r>
          </w:p>
          <w:p w:rsidR="00BA1531" w:rsidRPr="00B75CDF" w:rsidRDefault="00BA1531" w:rsidP="00B75CDF">
            <w:pPr>
              <w:pStyle w:val="PargrafodaLista"/>
              <w:numPr>
                <w:ilvl w:val="0"/>
                <w:numId w:val="12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B75CDF">
              <w:rPr>
                <w:rFonts w:cs="Arial"/>
                <w:sz w:val="20"/>
                <w:szCs w:val="20"/>
              </w:rPr>
              <w:t>Manutenção e conservação das rodovias federais em bom estado de conservação.</w:t>
            </w:r>
          </w:p>
          <w:p w:rsidR="00BA1531" w:rsidRPr="00B75CDF" w:rsidRDefault="00BA1531" w:rsidP="00B75CDF">
            <w:pPr>
              <w:pStyle w:val="PargrafodaLista"/>
              <w:numPr>
                <w:ilvl w:val="0"/>
                <w:numId w:val="12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B75CDF">
              <w:rPr>
                <w:rFonts w:cs="Arial"/>
                <w:sz w:val="20"/>
                <w:szCs w:val="20"/>
              </w:rPr>
              <w:t>Manutenção e conservação da infraestrutura de energia monofásica na zona rural.</w:t>
            </w:r>
          </w:p>
          <w:p w:rsidR="00BA1531" w:rsidRPr="00B75CDF" w:rsidRDefault="00BA1531" w:rsidP="00B75C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CDF">
              <w:rPr>
                <w:rFonts w:ascii="Arial" w:hAnsi="Arial" w:cs="Arial"/>
                <w:b/>
                <w:bCs/>
                <w:sz w:val="20"/>
                <w:szCs w:val="20"/>
              </w:rPr>
              <w:t>PONTOS DE DEFESA/RISCOS (Apontam para potenciais diferenciais de desenvolvimento)</w:t>
            </w:r>
          </w:p>
          <w:p w:rsidR="00BA1531" w:rsidRPr="00B75CDF" w:rsidRDefault="00BA1531" w:rsidP="00B75CDF">
            <w:pPr>
              <w:pStyle w:val="PargrafodaLista"/>
              <w:numPr>
                <w:ilvl w:val="0"/>
                <w:numId w:val="12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B75CDF">
              <w:rPr>
                <w:rFonts w:cs="Arial"/>
                <w:sz w:val="20"/>
                <w:szCs w:val="20"/>
              </w:rPr>
              <w:lastRenderedPageBreak/>
              <w:t>Parcerias para a implementação de projetos com recursos públicos e privados na geração de energia e na infraestrutura regional.</w:t>
            </w:r>
          </w:p>
          <w:p w:rsidR="00BA1531" w:rsidRPr="00B75CDF" w:rsidRDefault="00BA1531" w:rsidP="00B75CD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1531" w:rsidRPr="00B75CDF" w:rsidRDefault="00BA1531" w:rsidP="00B75CD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75CDF">
              <w:rPr>
                <w:rFonts w:ascii="Arial" w:hAnsi="Arial" w:cs="Arial"/>
                <w:sz w:val="20"/>
                <w:szCs w:val="20"/>
              </w:rPr>
              <w:t xml:space="preserve">Esses pressupostos orientaram a elaboração de 01 (uma) diretriz para a dimensão Gestão </w:t>
            </w:r>
            <w:r w:rsidRPr="00B75CDF">
              <w:rPr>
                <w:rFonts w:ascii="Arial" w:hAnsi="Arial" w:cs="Arial"/>
                <w:sz w:val="20"/>
                <w:szCs w:val="20"/>
                <w:highlight w:val="green"/>
              </w:rPr>
              <w:t>Infraestrutura</w:t>
            </w:r>
            <w:r w:rsidRPr="00B75CDF">
              <w:rPr>
                <w:rFonts w:ascii="Arial" w:hAnsi="Arial" w:cs="Arial"/>
                <w:sz w:val="20"/>
                <w:szCs w:val="20"/>
              </w:rPr>
              <w:t xml:space="preserve">, sendo: </w:t>
            </w:r>
            <w:r w:rsidRPr="00B75CDF">
              <w:rPr>
                <w:rFonts w:ascii="Arial" w:hAnsi="Arial" w:cs="Arial"/>
                <w:i/>
                <w:sz w:val="20"/>
                <w:szCs w:val="20"/>
              </w:rPr>
              <w:t>D8 Ampliação e melhorias da infraestrutura logística, energética e de comunicação.</w:t>
            </w:r>
          </w:p>
          <w:p w:rsidR="00B75CDF" w:rsidRPr="00B75CDF" w:rsidRDefault="00596D30" w:rsidP="00B75CDF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CDF">
              <w:rPr>
                <w:rFonts w:ascii="Arial" w:hAnsi="Arial" w:cs="Arial"/>
                <w:sz w:val="20"/>
                <w:szCs w:val="20"/>
              </w:rPr>
              <w:t xml:space="preserve">Nesse sentido, o projeto </w:t>
            </w:r>
            <w:r w:rsidR="00813ADE" w:rsidRPr="00B75CDF">
              <w:rPr>
                <w:rFonts w:ascii="Arial" w:hAnsi="Arial" w:cs="Arial"/>
                <w:color w:val="000000" w:themeColor="text1"/>
                <w:sz w:val="20"/>
                <w:szCs w:val="20"/>
              </w:rPr>
              <w:t>P 8.6 Perfuração de poços artesianos para assentamentos e propriedades rurais com famílias de baixa renda</w:t>
            </w:r>
            <w:r w:rsidR="00B75CDF" w:rsidRPr="00B75C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uma vez que a </w:t>
            </w:r>
            <w:r w:rsidR="00B75CDF" w:rsidRPr="00B75CDF">
              <w:rPr>
                <w:rFonts w:ascii="Arial" w:hAnsi="Arial" w:cs="Arial"/>
                <w:sz w:val="20"/>
                <w:szCs w:val="20"/>
              </w:rPr>
              <w:t xml:space="preserve">região do COREDE apresenta déficit hídrico sazonal que obriga a construção de açudes e barragens, que não atendem de forma permanente a disponibilidade de água, em função da evaporação elevada nestes períodos de baixa precipitação pluviométrica.  Além disto, em pequenas propriedades rurais acaba por </w:t>
            </w:r>
            <w:proofErr w:type="spellStart"/>
            <w:r w:rsidR="00B75CDF" w:rsidRPr="00B75CDF">
              <w:rPr>
                <w:rFonts w:ascii="Arial" w:hAnsi="Arial" w:cs="Arial"/>
                <w:sz w:val="20"/>
                <w:szCs w:val="20"/>
              </w:rPr>
              <w:t>dispênder</w:t>
            </w:r>
            <w:proofErr w:type="spellEnd"/>
            <w:r w:rsidR="00B75CDF" w:rsidRPr="00B75CDF">
              <w:rPr>
                <w:rFonts w:ascii="Arial" w:hAnsi="Arial" w:cs="Arial"/>
                <w:sz w:val="20"/>
                <w:szCs w:val="20"/>
              </w:rPr>
              <w:t xml:space="preserve"> uma área de campo agriculturável para alagamento pela barragem.</w:t>
            </w:r>
          </w:p>
          <w:p w:rsidR="00BA1531" w:rsidRDefault="00B75CDF" w:rsidP="00B75C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CDF">
              <w:rPr>
                <w:rFonts w:ascii="Arial" w:hAnsi="Arial" w:cs="Arial"/>
                <w:sz w:val="20"/>
                <w:szCs w:val="20"/>
              </w:rPr>
              <w:t>A utilização da água subterrânea como fonte de abastecimento de unidades familiares ou até comunidades tem um custo médio de instalação próximo a R$ 25.000,00. Se atender uma comunidade tem o custo individual  muito competitivo.</w:t>
            </w:r>
            <w:r w:rsidRPr="00B75CDF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Pr="00B75CDF">
              <w:rPr>
                <w:rFonts w:ascii="Arial" w:hAnsi="Arial" w:cs="Arial"/>
                <w:sz w:val="20"/>
                <w:szCs w:val="20"/>
              </w:rPr>
              <w:t>esse sentido, os poços artesianos têm sido uma alternativa viável de baixo custo para sobrevivência de milhares de pessoas, animais e cultivo de plantações em comunidades rurais, tendo em vista que em qualquer época do ano é possível perfurar um poço em um terreno até encontrar água do lençol freático.</w:t>
            </w:r>
          </w:p>
          <w:p w:rsidR="00B75CDF" w:rsidRPr="00B75CDF" w:rsidRDefault="00B75CDF" w:rsidP="00B75C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A1531" w:rsidRPr="00B75CDF" w:rsidRDefault="00BA1531" w:rsidP="00B75CDF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7425" w:rsidRPr="00B75CDF" w:rsidTr="00BF57EF">
        <w:tc>
          <w:tcPr>
            <w:tcW w:w="5000" w:type="pct"/>
            <w:shd w:val="clear" w:color="auto" w:fill="auto"/>
            <w:tcMar>
              <w:left w:w="108" w:type="dxa"/>
            </w:tcMar>
          </w:tcPr>
          <w:p w:rsidR="00956AD8" w:rsidRPr="00B75CDF" w:rsidRDefault="00314BCD" w:rsidP="00B75C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C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Beneficiários:</w:t>
            </w:r>
            <w:r w:rsidR="00F03BBA" w:rsidRPr="00B75C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75CDF" w:rsidRPr="00B75CDF">
              <w:rPr>
                <w:rFonts w:ascii="Arial" w:hAnsi="Arial" w:cs="Arial"/>
                <w:sz w:val="20"/>
                <w:szCs w:val="20"/>
              </w:rPr>
              <w:t>Comunidades e pequenas propriedades rur</w:t>
            </w:r>
            <w:r w:rsidR="00B75CDF" w:rsidRPr="00B75CDF">
              <w:rPr>
                <w:rFonts w:ascii="Arial" w:hAnsi="Arial" w:cs="Arial"/>
                <w:sz w:val="20"/>
                <w:szCs w:val="20"/>
              </w:rPr>
              <w:t>ais com famílias de baixa renda</w:t>
            </w:r>
            <w:r w:rsidR="0077375E" w:rsidRPr="00B75CDF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956AD8" w:rsidRPr="00B75CDF" w:rsidRDefault="00956AD8" w:rsidP="009777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7425" w:rsidRPr="00B75CDF" w:rsidTr="00BF57EF">
        <w:tc>
          <w:tcPr>
            <w:tcW w:w="5000" w:type="pct"/>
            <w:shd w:val="clear" w:color="auto" w:fill="auto"/>
            <w:tcMar>
              <w:left w:w="108" w:type="dxa"/>
            </w:tcMar>
          </w:tcPr>
          <w:p w:rsidR="0004460C" w:rsidRPr="00B75CDF" w:rsidRDefault="00314BCD" w:rsidP="0097774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75C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Resultados pretendidos:</w:t>
            </w:r>
          </w:p>
          <w:p w:rsidR="00B75CDF" w:rsidRPr="00B75CDF" w:rsidRDefault="0004460C" w:rsidP="00B75C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C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B75CDF" w:rsidRPr="00B75CDF">
              <w:rPr>
                <w:rFonts w:ascii="Arial" w:hAnsi="Arial" w:cs="Arial"/>
                <w:sz w:val="20"/>
                <w:szCs w:val="20"/>
              </w:rPr>
              <w:t>Disponibilidade de água independente da sazonalidade climática.</w:t>
            </w:r>
          </w:p>
          <w:p w:rsidR="0004460C" w:rsidRPr="00B75CDF" w:rsidRDefault="0004460C" w:rsidP="009777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7425" w:rsidRPr="00B75CDF" w:rsidTr="00BF57EF">
        <w:tc>
          <w:tcPr>
            <w:tcW w:w="5000" w:type="pct"/>
            <w:shd w:val="clear" w:color="auto" w:fill="auto"/>
            <w:tcMar>
              <w:left w:w="108" w:type="dxa"/>
            </w:tcMar>
          </w:tcPr>
          <w:p w:rsidR="0046015E" w:rsidRPr="00B75CDF" w:rsidRDefault="0046015E" w:rsidP="0097774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75C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Alinhamento Estratégico: </w:t>
            </w:r>
            <w:r w:rsidR="007C2C47" w:rsidRPr="00B75CDF">
              <w:rPr>
                <w:rFonts w:ascii="Arial" w:hAnsi="Arial" w:cs="Arial"/>
                <w:i/>
                <w:sz w:val="20"/>
                <w:szCs w:val="20"/>
              </w:rPr>
              <w:t>D8 Ampliação e melhorias da infraestrutura logística, energética e de comunicação.</w:t>
            </w:r>
          </w:p>
        </w:tc>
      </w:tr>
      <w:tr w:rsidR="00A17425" w:rsidRPr="00B75CDF" w:rsidTr="00BF57EF">
        <w:tc>
          <w:tcPr>
            <w:tcW w:w="5000" w:type="pct"/>
            <w:shd w:val="clear" w:color="auto" w:fill="D9D9D9"/>
            <w:tcMar>
              <w:left w:w="108" w:type="dxa"/>
            </w:tcMar>
          </w:tcPr>
          <w:p w:rsidR="00956AD8" w:rsidRPr="00B75CDF" w:rsidRDefault="00314BCD" w:rsidP="0097774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75C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3 - PRODUTOS DO PROJETO</w:t>
            </w:r>
          </w:p>
        </w:tc>
      </w:tr>
    </w:tbl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75CDF" w:rsidRPr="00B75CDF" w:rsidTr="00B75CDF">
        <w:tc>
          <w:tcPr>
            <w:tcW w:w="8926" w:type="dxa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B75CDF" w:rsidRPr="00B75CDF" w:rsidRDefault="00B75CDF" w:rsidP="00F069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CDF">
              <w:rPr>
                <w:rFonts w:ascii="Arial" w:hAnsi="Arial" w:cs="Arial"/>
                <w:b/>
                <w:sz w:val="20"/>
                <w:szCs w:val="20"/>
              </w:rPr>
              <w:t>Produto 1:</w:t>
            </w:r>
            <w:r w:rsidRPr="00B75CDF">
              <w:rPr>
                <w:rFonts w:ascii="Arial" w:hAnsi="Arial" w:cs="Arial"/>
                <w:sz w:val="20"/>
                <w:szCs w:val="20"/>
              </w:rPr>
              <w:t xml:space="preserve">  Disponibilidade de água subterrânea</w:t>
            </w:r>
          </w:p>
        </w:tc>
      </w:tr>
      <w:tr w:rsidR="00B75CDF" w:rsidRPr="00B75CDF" w:rsidTr="00B75CDF">
        <w:tc>
          <w:tcPr>
            <w:tcW w:w="8926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B75CDF" w:rsidRPr="00B75CDF" w:rsidRDefault="00B75CDF" w:rsidP="00F069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CDF">
              <w:rPr>
                <w:rFonts w:ascii="Arial" w:hAnsi="Arial" w:cs="Arial"/>
                <w:b/>
                <w:sz w:val="20"/>
                <w:szCs w:val="20"/>
              </w:rPr>
              <w:t>Meta:</w:t>
            </w:r>
            <w:r w:rsidRPr="00B75CDF">
              <w:rPr>
                <w:rFonts w:ascii="Arial" w:hAnsi="Arial" w:cs="Arial"/>
                <w:sz w:val="20"/>
                <w:szCs w:val="20"/>
              </w:rPr>
              <w:t xml:space="preserve"> 4 poços por mês</w:t>
            </w:r>
            <w:r w:rsidRPr="00B75CDF">
              <w:rPr>
                <w:rFonts w:ascii="Arial" w:hAnsi="Arial" w:cs="Arial"/>
                <w:sz w:val="20"/>
                <w:szCs w:val="20"/>
              </w:rPr>
              <w:t xml:space="preserve"> (624 poços em 13 anos)</w:t>
            </w:r>
          </w:p>
          <w:p w:rsidR="00B75CDF" w:rsidRPr="00B75CDF" w:rsidRDefault="00B75CDF" w:rsidP="00B75C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CDF">
              <w:rPr>
                <w:rFonts w:ascii="Arial" w:hAnsi="Arial" w:cs="Arial"/>
                <w:sz w:val="20"/>
                <w:szCs w:val="20"/>
              </w:rPr>
              <w:t>.</w:t>
            </w:r>
            <w:r w:rsidRPr="00B75CDF">
              <w:rPr>
                <w:rFonts w:ascii="Arial" w:hAnsi="Arial" w:cs="Arial"/>
                <w:b/>
                <w:sz w:val="20"/>
                <w:szCs w:val="20"/>
              </w:rPr>
              <w:t>Custo</w:t>
            </w:r>
            <w:r w:rsidRPr="00B75CDF">
              <w:rPr>
                <w:rFonts w:ascii="Arial" w:hAnsi="Arial" w:cs="Arial"/>
                <w:sz w:val="20"/>
                <w:szCs w:val="20"/>
              </w:rPr>
              <w:t>: R$ 25.000,00 / poço</w:t>
            </w:r>
            <w:r w:rsidRPr="00B75CDF">
              <w:rPr>
                <w:rFonts w:ascii="Arial" w:hAnsi="Arial" w:cs="Arial"/>
                <w:sz w:val="20"/>
                <w:szCs w:val="20"/>
              </w:rPr>
              <w:t xml:space="preserve"> total de R$ 15.600.000,00</w:t>
            </w:r>
          </w:p>
        </w:tc>
      </w:tr>
      <w:tr w:rsidR="00B75CDF" w:rsidRPr="00B75CDF" w:rsidTr="00B75CDF">
        <w:tc>
          <w:tcPr>
            <w:tcW w:w="892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75CDF" w:rsidRPr="00B75CDF" w:rsidRDefault="00B75CDF" w:rsidP="00F069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CDF">
              <w:rPr>
                <w:rFonts w:ascii="Arial" w:hAnsi="Arial" w:cs="Arial"/>
                <w:b/>
                <w:sz w:val="20"/>
                <w:szCs w:val="20"/>
              </w:rPr>
              <w:t>Prazo:</w:t>
            </w:r>
            <w:r w:rsidRPr="00B75C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5CDF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4"/>
        <w:gridCol w:w="1178"/>
        <w:gridCol w:w="1868"/>
        <w:gridCol w:w="21"/>
      </w:tblGrid>
      <w:tr w:rsidR="00E93998" w:rsidRPr="00B75CDF" w:rsidTr="00BF57EF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E93998" w:rsidRPr="00B75CDF" w:rsidRDefault="00E93998" w:rsidP="00E9399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75C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4 - ÓRGÃOS INTERVENIENTES:</w:t>
            </w:r>
          </w:p>
        </w:tc>
      </w:tr>
      <w:tr w:rsidR="00E93998" w:rsidRPr="00B75CDF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B75CDF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C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Equipe do Projeto: 1 Coordenador Geral, alunos estagiários</w:t>
            </w:r>
          </w:p>
        </w:tc>
      </w:tr>
      <w:tr w:rsidR="00E93998" w:rsidRPr="00B75CDF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B75CDF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C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Órgãos Públicos Envolvidos: </w:t>
            </w:r>
            <w:r w:rsidR="00CC3ADF" w:rsidRPr="00B75C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Prefeituras municipais, </w:t>
            </w:r>
            <w:r w:rsidR="00666AEE" w:rsidRPr="00B75CDF">
              <w:rPr>
                <w:rFonts w:ascii="Arial" w:hAnsi="Arial" w:cs="Arial"/>
                <w:color w:val="000000" w:themeColor="text1"/>
                <w:sz w:val="20"/>
                <w:szCs w:val="20"/>
              </w:rPr>
              <w:t>Secretarias municipais: rural, desenvolvimento econômico, indústria, comércio e serviços, Conselhos municipais de desenvolvimento econôm</w:t>
            </w:r>
            <w:r w:rsidR="00B75CDF" w:rsidRPr="00B75CDF">
              <w:rPr>
                <w:rFonts w:ascii="Arial" w:hAnsi="Arial" w:cs="Arial"/>
                <w:color w:val="000000" w:themeColor="text1"/>
                <w:sz w:val="20"/>
                <w:szCs w:val="20"/>
              </w:rPr>
              <w:t>ico, rural, industrial, turismo. SDR</w:t>
            </w:r>
          </w:p>
        </w:tc>
      </w:tr>
      <w:tr w:rsidR="00E93998" w:rsidRPr="00B75CDF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B75CDF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C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Organizações parceiras: </w:t>
            </w:r>
            <w:r w:rsidRPr="00B75C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Instituições de Ensino da Região, Associações, </w:t>
            </w:r>
            <w:r w:rsidR="00666AEE" w:rsidRPr="00B75CDF">
              <w:rPr>
                <w:rFonts w:ascii="Arial" w:hAnsi="Arial" w:cs="Arial"/>
                <w:color w:val="000000" w:themeColor="text1"/>
                <w:sz w:val="20"/>
                <w:szCs w:val="20"/>
              </w:rPr>
              <w:t>Sistema S,</w:t>
            </w:r>
            <w:r w:rsidRPr="00B75C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Empresas, ONGs, etc.</w:t>
            </w:r>
          </w:p>
        </w:tc>
      </w:tr>
      <w:tr w:rsidR="00E93998" w:rsidRPr="00B75CDF" w:rsidTr="00BF57EF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E93998" w:rsidRPr="00B75CDF" w:rsidRDefault="00E93998" w:rsidP="00E9399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75C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5 - REQUISITOS PARA EXECUÇÃO</w:t>
            </w:r>
          </w:p>
        </w:tc>
      </w:tr>
      <w:tr w:rsidR="00E93998" w:rsidRPr="00B75CDF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B75CDF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C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Fonte de Financiamento: </w:t>
            </w:r>
            <w:r w:rsidRPr="00B75CDF">
              <w:rPr>
                <w:rFonts w:ascii="Arial" w:hAnsi="Arial" w:cs="Arial"/>
                <w:color w:val="000000" w:themeColor="text1"/>
                <w:sz w:val="20"/>
                <w:szCs w:val="20"/>
              </w:rPr>
              <w:t>Governos Federal, Estadual, Municipais e outras fontes de recursos.</w:t>
            </w:r>
          </w:p>
        </w:tc>
      </w:tr>
      <w:tr w:rsidR="00E93998" w:rsidRPr="00B75CDF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B75CDF" w:rsidRDefault="00E93998" w:rsidP="00E9399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75C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Elaboração de Projeto Executivo:</w:t>
            </w:r>
            <w:r w:rsidRPr="00B75C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Sim </w:t>
            </w:r>
          </w:p>
        </w:tc>
      </w:tr>
      <w:tr w:rsidR="00E93998" w:rsidRPr="00B75CDF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B75CDF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75C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Desapropriação:</w:t>
            </w:r>
            <w:r w:rsidRPr="00B75CDF">
              <w:rPr>
                <w:rFonts w:ascii="Arial" w:hAnsi="Arial" w:cs="Arial"/>
                <w:color w:val="000000" w:themeColor="text1"/>
                <w:sz w:val="20"/>
                <w:szCs w:val="20"/>
              </w:rPr>
              <w:t>Não</w:t>
            </w:r>
            <w:proofErr w:type="spellEnd"/>
          </w:p>
        </w:tc>
      </w:tr>
      <w:tr w:rsidR="00E93998" w:rsidRPr="00B75CDF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B75CDF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C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Licença Ambiental:</w:t>
            </w:r>
            <w:r w:rsidRPr="00B75CDF">
              <w:rPr>
                <w:rFonts w:ascii="Arial" w:hAnsi="Arial" w:cs="Arial"/>
                <w:color w:val="000000" w:themeColor="text1"/>
                <w:sz w:val="20"/>
                <w:szCs w:val="20"/>
              </w:rPr>
              <w:t>Não</w:t>
            </w:r>
          </w:p>
        </w:tc>
      </w:tr>
      <w:tr w:rsidR="00E93998" w:rsidRPr="00B75CDF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B75CDF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C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Licitação:</w:t>
            </w:r>
            <w:r w:rsidRPr="00B75C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Sim </w:t>
            </w:r>
          </w:p>
        </w:tc>
      </w:tr>
      <w:tr w:rsidR="00E93998" w:rsidRPr="00B75CDF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B75CDF" w:rsidRDefault="00E93998" w:rsidP="00E9399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75C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Outros:</w:t>
            </w:r>
          </w:p>
        </w:tc>
      </w:tr>
      <w:tr w:rsidR="00E93998" w:rsidRPr="00B75CDF" w:rsidTr="00BF57EF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E93998" w:rsidRPr="00B75CDF" w:rsidRDefault="00E93998" w:rsidP="00E9399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75C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6 - RECURSOS DO PROJETO</w:t>
            </w:r>
          </w:p>
        </w:tc>
      </w:tr>
      <w:tr w:rsidR="00E93998" w:rsidRPr="00B75CDF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B75CDF" w:rsidRDefault="00E93998" w:rsidP="00E9399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75C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Valor total estimado do projeto: R$ </w:t>
            </w:r>
            <w:r w:rsidR="00B75CDF" w:rsidRPr="00B75C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15</w:t>
            </w:r>
            <w:r w:rsidRPr="00B75C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="00B75CDF" w:rsidRPr="00B75C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</w:t>
            </w:r>
            <w:r w:rsidRPr="00B75C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00.000,00</w:t>
            </w:r>
          </w:p>
        </w:tc>
      </w:tr>
      <w:tr w:rsidR="00E93998" w:rsidRPr="00B75CDF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B75CDF" w:rsidRDefault="00E93998" w:rsidP="00E9399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75C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Fontes de </w:t>
            </w:r>
            <w:proofErr w:type="spellStart"/>
            <w:r w:rsidRPr="00B75C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recursos:</w:t>
            </w:r>
            <w:r w:rsidRPr="00B75CDF">
              <w:rPr>
                <w:rFonts w:ascii="Arial" w:hAnsi="Arial" w:cs="Arial"/>
                <w:color w:val="000000" w:themeColor="text1"/>
                <w:sz w:val="20"/>
                <w:szCs w:val="20"/>
              </w:rPr>
              <w:t>Instituições</w:t>
            </w:r>
            <w:proofErr w:type="spellEnd"/>
            <w:r w:rsidRPr="00B75C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Ensino e Pesquisa, Governos Federal, Estadual, Municipais e outras fontes de recursos.</w:t>
            </w:r>
          </w:p>
        </w:tc>
      </w:tr>
      <w:tr w:rsidR="00E93998" w:rsidRPr="00B75CDF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B75CDF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C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Possui vinculação com o PPA Estadual 2016-2019:</w:t>
            </w:r>
            <w:r w:rsidRPr="00B75C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Não</w:t>
            </w:r>
          </w:p>
        </w:tc>
      </w:tr>
      <w:tr w:rsidR="00E93998" w:rsidRPr="00B75CDF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B75CDF" w:rsidRDefault="00E93998" w:rsidP="00E9399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75C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Possui vinculação com o PPA Federal 2016-2019: </w:t>
            </w:r>
            <w:r w:rsidRPr="00B75CDF">
              <w:rPr>
                <w:rFonts w:ascii="Arial" w:hAnsi="Arial" w:cs="Arial"/>
                <w:color w:val="000000" w:themeColor="text1"/>
                <w:sz w:val="20"/>
                <w:szCs w:val="20"/>
              </w:rPr>
              <w:t>Sim</w:t>
            </w:r>
          </w:p>
        </w:tc>
      </w:tr>
      <w:tr w:rsidR="00E93998" w:rsidRPr="00B75CDF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B75CDF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C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Investimentos: R$ </w:t>
            </w:r>
          </w:p>
        </w:tc>
      </w:tr>
      <w:tr w:rsidR="00E93998" w:rsidRPr="00B75CDF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B75CDF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C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Despesas Correntes:</w:t>
            </w:r>
          </w:p>
        </w:tc>
      </w:tr>
      <w:tr w:rsidR="00E93998" w:rsidRPr="00B75CDF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B75CDF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CDF">
              <w:rPr>
                <w:rFonts w:ascii="Arial" w:hAnsi="Arial" w:cs="Arial"/>
                <w:color w:val="000000" w:themeColor="text1"/>
                <w:sz w:val="20"/>
                <w:szCs w:val="20"/>
              </w:rPr>
              <w:t>Investimentos e despesas correntes por produto:</w:t>
            </w:r>
          </w:p>
        </w:tc>
      </w:tr>
      <w:tr w:rsidR="00E93998" w:rsidRPr="00B75CDF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B75CDF" w:rsidRDefault="00550050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C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Produto 1:R$ </w:t>
            </w:r>
            <w:r w:rsidR="00B75CDF" w:rsidRPr="00B75CDF">
              <w:rPr>
                <w:rFonts w:ascii="Arial" w:hAnsi="Arial" w:cs="Arial"/>
                <w:color w:val="000000" w:themeColor="text1"/>
                <w:sz w:val="20"/>
                <w:szCs w:val="20"/>
              </w:rPr>
              <w:t>15.60</w:t>
            </w:r>
            <w:r w:rsidR="00E93998" w:rsidRPr="00B75CDF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0.000,00</w:t>
            </w:r>
          </w:p>
        </w:tc>
      </w:tr>
      <w:tr w:rsidR="00E93998" w:rsidRPr="00B75CDF" w:rsidTr="00BF57EF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E93998" w:rsidRPr="00B75CDF" w:rsidRDefault="00E93998" w:rsidP="00E9399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75C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7 - CRONOGRAMA DO PROJETO</w:t>
            </w:r>
          </w:p>
        </w:tc>
      </w:tr>
      <w:tr w:rsidR="00E93998" w:rsidRPr="00B75CDF" w:rsidTr="00BF57EF">
        <w:trPr>
          <w:gridAfter w:val="1"/>
          <w:wAfter w:w="12" w:type="pct"/>
        </w:trPr>
        <w:tc>
          <w:tcPr>
            <w:tcW w:w="3281" w:type="pct"/>
            <w:shd w:val="clear" w:color="auto" w:fill="auto"/>
            <w:tcMar>
              <w:left w:w="108" w:type="dxa"/>
            </w:tcMar>
          </w:tcPr>
          <w:p w:rsidR="00E93998" w:rsidRPr="00B75CDF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CDF">
              <w:rPr>
                <w:rFonts w:ascii="Arial" w:hAnsi="Arial" w:cs="Arial"/>
                <w:color w:val="000000" w:themeColor="text1"/>
                <w:sz w:val="20"/>
                <w:szCs w:val="20"/>
              </w:rPr>
              <w:t>Produto</w:t>
            </w:r>
          </w:p>
        </w:tc>
        <w:tc>
          <w:tcPr>
            <w:tcW w:w="660" w:type="pct"/>
            <w:shd w:val="clear" w:color="auto" w:fill="auto"/>
          </w:tcPr>
          <w:p w:rsidR="00E93998" w:rsidRPr="00B75CDF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CDF">
              <w:rPr>
                <w:rFonts w:ascii="Arial" w:hAnsi="Arial" w:cs="Arial"/>
                <w:color w:val="000000" w:themeColor="text1"/>
                <w:sz w:val="20"/>
                <w:szCs w:val="20"/>
              </w:rPr>
              <w:t>Início</w:t>
            </w:r>
          </w:p>
        </w:tc>
        <w:tc>
          <w:tcPr>
            <w:tcW w:w="1047" w:type="pct"/>
            <w:shd w:val="clear" w:color="auto" w:fill="auto"/>
          </w:tcPr>
          <w:p w:rsidR="00E93998" w:rsidRPr="00B75CDF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CDF">
              <w:rPr>
                <w:rFonts w:ascii="Arial" w:hAnsi="Arial" w:cs="Arial"/>
                <w:color w:val="000000" w:themeColor="text1"/>
                <w:sz w:val="20"/>
                <w:szCs w:val="20"/>
              </w:rPr>
              <w:t>Término</w:t>
            </w:r>
          </w:p>
        </w:tc>
      </w:tr>
      <w:tr w:rsidR="00E93998" w:rsidRPr="00B75CDF" w:rsidTr="00BF57EF">
        <w:trPr>
          <w:gridAfter w:val="1"/>
          <w:wAfter w:w="12" w:type="pct"/>
        </w:trPr>
        <w:tc>
          <w:tcPr>
            <w:tcW w:w="3281" w:type="pct"/>
            <w:shd w:val="clear" w:color="auto" w:fill="auto"/>
            <w:tcMar>
              <w:left w:w="108" w:type="dxa"/>
            </w:tcMar>
          </w:tcPr>
          <w:p w:rsidR="00E93998" w:rsidRPr="00B75CDF" w:rsidRDefault="00B75CDF" w:rsidP="00E93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CDF">
              <w:rPr>
                <w:rFonts w:ascii="Arial" w:hAnsi="Arial" w:cs="Arial"/>
                <w:b/>
                <w:sz w:val="20"/>
                <w:szCs w:val="20"/>
              </w:rPr>
              <w:lastRenderedPageBreak/>
              <w:t>Produto 1:</w:t>
            </w:r>
            <w:r w:rsidRPr="00B75CDF">
              <w:rPr>
                <w:rFonts w:ascii="Arial" w:hAnsi="Arial" w:cs="Arial"/>
                <w:sz w:val="20"/>
                <w:szCs w:val="20"/>
              </w:rPr>
              <w:t xml:space="preserve">  Disponibilidade de água subterrânea</w:t>
            </w:r>
          </w:p>
        </w:tc>
        <w:tc>
          <w:tcPr>
            <w:tcW w:w="660" w:type="pct"/>
            <w:shd w:val="clear" w:color="auto" w:fill="auto"/>
          </w:tcPr>
          <w:p w:rsidR="00E93998" w:rsidRPr="00B75CDF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CDF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7" w:type="pct"/>
            <w:shd w:val="clear" w:color="auto" w:fill="auto"/>
          </w:tcPr>
          <w:p w:rsidR="00E93998" w:rsidRPr="00B75CDF" w:rsidRDefault="00B75CDF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CDF">
              <w:rPr>
                <w:rFonts w:ascii="Arial" w:hAnsi="Arial" w:cs="Arial"/>
                <w:color w:val="000000" w:themeColor="text1"/>
                <w:sz w:val="20"/>
                <w:szCs w:val="20"/>
              </w:rPr>
              <w:t>156</w:t>
            </w:r>
          </w:p>
        </w:tc>
      </w:tr>
    </w:tbl>
    <w:p w:rsidR="00962C39" w:rsidRPr="00B75CDF" w:rsidRDefault="00962C39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962C39" w:rsidRPr="00B75CDF" w:rsidSect="00FD47FE">
      <w:pgSz w:w="11906" w:h="16838"/>
      <w:pgMar w:top="1417" w:right="1274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73B"/>
    <w:multiLevelType w:val="hybridMultilevel"/>
    <w:tmpl w:val="366419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C7341"/>
    <w:multiLevelType w:val="hybridMultilevel"/>
    <w:tmpl w:val="ADE0F7A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71060"/>
    <w:multiLevelType w:val="hybridMultilevel"/>
    <w:tmpl w:val="CDFE20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25066"/>
    <w:multiLevelType w:val="hybridMultilevel"/>
    <w:tmpl w:val="419668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10D4F"/>
    <w:multiLevelType w:val="hybridMultilevel"/>
    <w:tmpl w:val="6CF8C9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04B27"/>
    <w:multiLevelType w:val="hybridMultilevel"/>
    <w:tmpl w:val="C58E95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50EBA"/>
    <w:multiLevelType w:val="hybridMultilevel"/>
    <w:tmpl w:val="5FE67C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94F3D"/>
    <w:multiLevelType w:val="hybridMultilevel"/>
    <w:tmpl w:val="2EE465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74723"/>
    <w:multiLevelType w:val="hybridMultilevel"/>
    <w:tmpl w:val="AE30EF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96CCA"/>
    <w:multiLevelType w:val="hybridMultilevel"/>
    <w:tmpl w:val="8D6E3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76EFB"/>
    <w:multiLevelType w:val="hybridMultilevel"/>
    <w:tmpl w:val="E2682B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00DE4"/>
    <w:multiLevelType w:val="hybridMultilevel"/>
    <w:tmpl w:val="115EBF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D8"/>
    <w:rsid w:val="00005B61"/>
    <w:rsid w:val="0004460C"/>
    <w:rsid w:val="00062C8F"/>
    <w:rsid w:val="00070734"/>
    <w:rsid w:val="00076A03"/>
    <w:rsid w:val="00077915"/>
    <w:rsid w:val="00081A6F"/>
    <w:rsid w:val="000A207D"/>
    <w:rsid w:val="00111555"/>
    <w:rsid w:val="00145DE0"/>
    <w:rsid w:val="0017043E"/>
    <w:rsid w:val="00182611"/>
    <w:rsid w:val="001B5FA5"/>
    <w:rsid w:val="001C2968"/>
    <w:rsid w:val="00240092"/>
    <w:rsid w:val="00240FD2"/>
    <w:rsid w:val="00255DA6"/>
    <w:rsid w:val="002B5D73"/>
    <w:rsid w:val="002E3910"/>
    <w:rsid w:val="002E46A4"/>
    <w:rsid w:val="00314BCD"/>
    <w:rsid w:val="00324C61"/>
    <w:rsid w:val="00365B5C"/>
    <w:rsid w:val="003674B5"/>
    <w:rsid w:val="003869EB"/>
    <w:rsid w:val="00392207"/>
    <w:rsid w:val="003A42F6"/>
    <w:rsid w:val="003B50EF"/>
    <w:rsid w:val="00407657"/>
    <w:rsid w:val="00416FE7"/>
    <w:rsid w:val="00455F71"/>
    <w:rsid w:val="0046015E"/>
    <w:rsid w:val="004D1BD6"/>
    <w:rsid w:val="004D4FA1"/>
    <w:rsid w:val="004E07A7"/>
    <w:rsid w:val="005070E6"/>
    <w:rsid w:val="00532337"/>
    <w:rsid w:val="00550050"/>
    <w:rsid w:val="00565A80"/>
    <w:rsid w:val="005729C8"/>
    <w:rsid w:val="0057332A"/>
    <w:rsid w:val="00596D30"/>
    <w:rsid w:val="005A5FC6"/>
    <w:rsid w:val="005C107B"/>
    <w:rsid w:val="005E77E5"/>
    <w:rsid w:val="005F288F"/>
    <w:rsid w:val="00611EF0"/>
    <w:rsid w:val="00666AEE"/>
    <w:rsid w:val="006877EF"/>
    <w:rsid w:val="00694AB0"/>
    <w:rsid w:val="006E6CD0"/>
    <w:rsid w:val="007105F1"/>
    <w:rsid w:val="007261DA"/>
    <w:rsid w:val="00730C6A"/>
    <w:rsid w:val="00746C9C"/>
    <w:rsid w:val="00747AA9"/>
    <w:rsid w:val="00747D0F"/>
    <w:rsid w:val="00750635"/>
    <w:rsid w:val="0077375E"/>
    <w:rsid w:val="007A60B0"/>
    <w:rsid w:val="007A796F"/>
    <w:rsid w:val="007C2C47"/>
    <w:rsid w:val="00813ADE"/>
    <w:rsid w:val="00830933"/>
    <w:rsid w:val="00835275"/>
    <w:rsid w:val="008943FB"/>
    <w:rsid w:val="008C3628"/>
    <w:rsid w:val="0091228B"/>
    <w:rsid w:val="009150ED"/>
    <w:rsid w:val="00920C02"/>
    <w:rsid w:val="00956AD8"/>
    <w:rsid w:val="00956FC3"/>
    <w:rsid w:val="00962C39"/>
    <w:rsid w:val="00977743"/>
    <w:rsid w:val="0098319C"/>
    <w:rsid w:val="00984B7C"/>
    <w:rsid w:val="00996371"/>
    <w:rsid w:val="009A1C3E"/>
    <w:rsid w:val="009A731D"/>
    <w:rsid w:val="00A1020A"/>
    <w:rsid w:val="00A17425"/>
    <w:rsid w:val="00A32B5B"/>
    <w:rsid w:val="00A33BF9"/>
    <w:rsid w:val="00A47AA0"/>
    <w:rsid w:val="00A72335"/>
    <w:rsid w:val="00A729EF"/>
    <w:rsid w:val="00A73A62"/>
    <w:rsid w:val="00AB26A0"/>
    <w:rsid w:val="00AD1FB8"/>
    <w:rsid w:val="00AD3FE8"/>
    <w:rsid w:val="00AD59F2"/>
    <w:rsid w:val="00AE21B2"/>
    <w:rsid w:val="00B40B26"/>
    <w:rsid w:val="00B57FA4"/>
    <w:rsid w:val="00B60E14"/>
    <w:rsid w:val="00B63BCE"/>
    <w:rsid w:val="00B75CDF"/>
    <w:rsid w:val="00B864D2"/>
    <w:rsid w:val="00BA1531"/>
    <w:rsid w:val="00BA3D81"/>
    <w:rsid w:val="00BA7E88"/>
    <w:rsid w:val="00BC0DC7"/>
    <w:rsid w:val="00BD2716"/>
    <w:rsid w:val="00BE7B31"/>
    <w:rsid w:val="00BF57EF"/>
    <w:rsid w:val="00C163FF"/>
    <w:rsid w:val="00C62E5D"/>
    <w:rsid w:val="00CC3ADF"/>
    <w:rsid w:val="00CD0312"/>
    <w:rsid w:val="00CD3BF7"/>
    <w:rsid w:val="00CF6918"/>
    <w:rsid w:val="00D121B4"/>
    <w:rsid w:val="00D21EC4"/>
    <w:rsid w:val="00D41ED4"/>
    <w:rsid w:val="00D6276D"/>
    <w:rsid w:val="00DA551C"/>
    <w:rsid w:val="00DB5ED5"/>
    <w:rsid w:val="00E063AF"/>
    <w:rsid w:val="00E6652A"/>
    <w:rsid w:val="00E80F23"/>
    <w:rsid w:val="00E93566"/>
    <w:rsid w:val="00E93998"/>
    <w:rsid w:val="00EA6239"/>
    <w:rsid w:val="00EB5B55"/>
    <w:rsid w:val="00EC4903"/>
    <w:rsid w:val="00ED4AC1"/>
    <w:rsid w:val="00ED77F7"/>
    <w:rsid w:val="00EE21B5"/>
    <w:rsid w:val="00F03BBA"/>
    <w:rsid w:val="00F1293F"/>
    <w:rsid w:val="00F55FCE"/>
    <w:rsid w:val="00F80275"/>
    <w:rsid w:val="00FA5AA3"/>
    <w:rsid w:val="00FD2D56"/>
    <w:rsid w:val="00FD47FE"/>
    <w:rsid w:val="00FD7579"/>
    <w:rsid w:val="00FE756E"/>
    <w:rsid w:val="00FF1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825A"/>
  <w15:chartTrackingRefBased/>
  <w15:docId w15:val="{7445DC31-501B-4C99-806A-59DD53EF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F4FC9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Ttulo"/>
    <w:rsid w:val="009150ED"/>
    <w:pPr>
      <w:outlineLvl w:val="0"/>
    </w:pPr>
  </w:style>
  <w:style w:type="paragraph" w:styleId="Ttulo2">
    <w:name w:val="heading 2"/>
    <w:basedOn w:val="Ttulo"/>
    <w:rsid w:val="009150ED"/>
    <w:pPr>
      <w:outlineLvl w:val="1"/>
    </w:pPr>
  </w:style>
  <w:style w:type="paragraph" w:styleId="Ttulo3">
    <w:name w:val="heading 3"/>
    <w:basedOn w:val="Ttulo"/>
    <w:rsid w:val="009150ED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qFormat/>
    <w:rsid w:val="009150ED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rsid w:val="009150ED"/>
    <w:pPr>
      <w:spacing w:after="140" w:line="288" w:lineRule="auto"/>
    </w:pPr>
  </w:style>
  <w:style w:type="paragraph" w:styleId="Lista">
    <w:name w:val="List"/>
    <w:basedOn w:val="Corpodotexto"/>
    <w:rsid w:val="009150ED"/>
    <w:rPr>
      <w:rFonts w:cs="FreeSans"/>
    </w:rPr>
  </w:style>
  <w:style w:type="paragraph" w:styleId="Legenda">
    <w:name w:val="caption"/>
    <w:basedOn w:val="Normal"/>
    <w:uiPriority w:val="35"/>
    <w:qFormat/>
    <w:rsid w:val="009150E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150ED"/>
    <w:pPr>
      <w:suppressLineNumbers/>
    </w:pPr>
    <w:rPr>
      <w:rFonts w:cs="FreeSans"/>
    </w:rPr>
  </w:style>
  <w:style w:type="paragraph" w:customStyle="1" w:styleId="Citaes">
    <w:name w:val="Citações"/>
    <w:basedOn w:val="Normal"/>
    <w:qFormat/>
    <w:rsid w:val="009150ED"/>
  </w:style>
  <w:style w:type="paragraph" w:customStyle="1" w:styleId="Ttulododocumento">
    <w:name w:val="Título do documento"/>
    <w:basedOn w:val="Ttulo"/>
    <w:rsid w:val="009150ED"/>
  </w:style>
  <w:style w:type="paragraph" w:styleId="Subttulo">
    <w:name w:val="Subtitle"/>
    <w:basedOn w:val="Ttulo"/>
    <w:rsid w:val="009150ED"/>
  </w:style>
  <w:style w:type="table" w:styleId="Tabelacomgrade">
    <w:name w:val="Table Grid"/>
    <w:basedOn w:val="Tabelanormal"/>
    <w:uiPriority w:val="59"/>
    <w:rsid w:val="00AA4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47D0F"/>
    <w:pPr>
      <w:suppressAutoHyphens w:val="0"/>
      <w:spacing w:after="0" w:line="360" w:lineRule="auto"/>
      <w:ind w:left="720" w:firstLine="709"/>
      <w:contextualSpacing/>
      <w:jc w:val="both"/>
    </w:pPr>
    <w:rPr>
      <w:rFonts w:ascii="Arial" w:eastAsia="Times New Roman" w:hAnsi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60917-EB54-4CE6-8430-37E1CDEC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1042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carla-cunha</dc:creator>
  <cp:keywords/>
  <cp:lastModifiedBy>Beth Drumm</cp:lastModifiedBy>
  <cp:revision>7</cp:revision>
  <cp:lastPrinted>2016-07-04T12:54:00Z</cp:lastPrinted>
  <dcterms:created xsi:type="dcterms:W3CDTF">2017-03-19T18:42:00Z</dcterms:created>
  <dcterms:modified xsi:type="dcterms:W3CDTF">2017-03-20T02:39:00Z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